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2D9B6" w14:textId="13A6183A" w:rsidR="002B30B7" w:rsidRPr="002B30B7" w:rsidRDefault="002B30B7" w:rsidP="001C012D">
      <w:pPr>
        <w:spacing w:after="240"/>
        <w:jc w:val="center"/>
        <w:rPr>
          <w:b/>
          <w:bCs/>
          <w:sz w:val="24"/>
          <w:szCs w:val="24"/>
        </w:rPr>
      </w:pPr>
      <w:r w:rsidRPr="002B30B7">
        <w:rPr>
          <w:b/>
          <w:bCs/>
          <w:sz w:val="24"/>
          <w:szCs w:val="24"/>
        </w:rPr>
        <w:t>Nitrates dans l’eau destinée à la consommation humaine (EDCH)</w:t>
      </w:r>
    </w:p>
    <w:p w14:paraId="371E3F59" w14:textId="2757C55A" w:rsidR="002B30B7" w:rsidRPr="002B30B7" w:rsidRDefault="002B30B7" w:rsidP="002B30B7">
      <w:pPr>
        <w:spacing w:before="120" w:after="240"/>
        <w:jc w:val="center"/>
        <w:rPr>
          <w:b/>
          <w:bCs/>
          <w:sz w:val="24"/>
          <w:szCs w:val="24"/>
        </w:rPr>
      </w:pPr>
      <w:r w:rsidRPr="002B30B7">
        <w:rPr>
          <w:b/>
          <w:bCs/>
          <w:sz w:val="24"/>
          <w:szCs w:val="24"/>
        </w:rPr>
        <w:t xml:space="preserve">questions </w:t>
      </w:r>
      <w:r w:rsidR="00DB6678">
        <w:rPr>
          <w:b/>
          <w:bCs/>
          <w:sz w:val="24"/>
          <w:szCs w:val="24"/>
        </w:rPr>
        <w:t>–</w:t>
      </w:r>
      <w:r w:rsidRPr="002B30B7">
        <w:rPr>
          <w:b/>
          <w:bCs/>
          <w:sz w:val="24"/>
          <w:szCs w:val="24"/>
        </w:rPr>
        <w:t xml:space="preserve"> réponses</w:t>
      </w:r>
      <w:r w:rsidR="00DB6678">
        <w:rPr>
          <w:b/>
          <w:bCs/>
          <w:sz w:val="24"/>
          <w:szCs w:val="24"/>
        </w:rPr>
        <w:t xml:space="preserve"> (mise à jour : </w:t>
      </w:r>
      <w:r w:rsidR="006D36D2">
        <w:rPr>
          <w:b/>
          <w:bCs/>
          <w:sz w:val="24"/>
          <w:szCs w:val="24"/>
        </w:rPr>
        <w:t>25</w:t>
      </w:r>
      <w:r w:rsidR="00DB6678">
        <w:rPr>
          <w:b/>
          <w:bCs/>
          <w:sz w:val="24"/>
          <w:szCs w:val="24"/>
        </w:rPr>
        <w:t>/02/2026)</w:t>
      </w:r>
    </w:p>
    <w:p w14:paraId="244118BD" w14:textId="1E156DB3" w:rsidR="00A4620A" w:rsidRPr="00A4620A" w:rsidRDefault="00DA794C" w:rsidP="002B30B7">
      <w:pPr>
        <w:spacing w:before="240" w:after="120"/>
        <w:jc w:val="both"/>
        <w:rPr>
          <w:b/>
          <w:bCs/>
        </w:rPr>
      </w:pPr>
      <w:r>
        <w:rPr>
          <w:b/>
          <w:bCs/>
        </w:rPr>
        <w:t>Quelle est l’o</w:t>
      </w:r>
      <w:r w:rsidR="00A4620A" w:rsidRPr="00A4620A">
        <w:rPr>
          <w:b/>
          <w:bCs/>
        </w:rPr>
        <w:t xml:space="preserve">rigine </w:t>
      </w:r>
      <w:r>
        <w:rPr>
          <w:b/>
          <w:bCs/>
        </w:rPr>
        <w:t>des nitrates dans l’eau du robinet ?</w:t>
      </w:r>
    </w:p>
    <w:p w14:paraId="556380BE" w14:textId="77777777" w:rsidR="00461BDD" w:rsidRDefault="00A4620A" w:rsidP="002B30B7">
      <w:pPr>
        <w:spacing w:before="120" w:after="240"/>
        <w:jc w:val="both"/>
      </w:pPr>
      <w:r w:rsidRPr="00A4620A">
        <w:t xml:space="preserve">Les nitrates sont naturellement présents dans l’environnement. En l’absence d’apports d’origine humaine (rejets urbains, industriels ou agricoles), leurs concentrations dans les eaux demeurent en deçà de 10 mg/L. </w:t>
      </w:r>
    </w:p>
    <w:p w14:paraId="705EE0AD" w14:textId="50E752E2" w:rsidR="00A4620A" w:rsidRDefault="00A4620A" w:rsidP="002B30B7">
      <w:pPr>
        <w:spacing w:before="240" w:after="240"/>
        <w:jc w:val="both"/>
      </w:pPr>
      <w:r w:rsidRPr="00A4620A">
        <w:t>En Pays de la Loire, la contamination de la ressource en eau provient principalement du lessivage des engrais azotés et des fertilisants organiques qui peuvent être présents en excès dans les sols (car non exportés par les plantes).</w:t>
      </w:r>
    </w:p>
    <w:p w14:paraId="6F810A0F" w14:textId="29181697" w:rsidR="00461BDD" w:rsidRPr="00A4620A" w:rsidRDefault="00461BDD" w:rsidP="002B30B7">
      <w:pPr>
        <w:spacing w:before="240" w:after="240"/>
        <w:jc w:val="both"/>
      </w:pPr>
      <w:r w:rsidRPr="00461BDD">
        <w:t>Les nitrates sont également présents dans les légumes (</w:t>
      </w:r>
      <w:r w:rsidRPr="00461BDD">
        <w:rPr>
          <w:i/>
          <w:iCs/>
        </w:rPr>
        <w:t xml:space="preserve">certains en contiennent plus de </w:t>
      </w:r>
      <w:r w:rsidR="002B30B7">
        <w:rPr>
          <w:i/>
          <w:iCs/>
        </w:rPr>
        <w:t>1 </w:t>
      </w:r>
      <w:r w:rsidRPr="00461BDD">
        <w:rPr>
          <w:i/>
          <w:iCs/>
        </w:rPr>
        <w:t>500</w:t>
      </w:r>
      <w:r w:rsidR="002B30B7">
        <w:rPr>
          <w:i/>
          <w:iCs/>
        </w:rPr>
        <w:t> </w:t>
      </w:r>
      <w:r w:rsidRPr="00461BDD">
        <w:rPr>
          <w:i/>
          <w:iCs/>
        </w:rPr>
        <w:t>mg/kg</w:t>
      </w:r>
      <w:r w:rsidRPr="00461BDD">
        <w:t>) ou dans les additifs de salaisons.</w:t>
      </w:r>
      <w:r>
        <w:t xml:space="preserve"> </w:t>
      </w:r>
      <w:r w:rsidRPr="00461BDD">
        <w:t>D’après l’ANSES (</w:t>
      </w:r>
      <w:r w:rsidRPr="00461BDD">
        <w:rPr>
          <w:i/>
          <w:iCs/>
        </w:rPr>
        <w:t>avis du 22 juillet 2022</w:t>
      </w:r>
      <w:r w:rsidRPr="00461BDD">
        <w:t>), la part liée à l’eau dans l’alimentation totale est comprise, en général, entre 20 % (</w:t>
      </w:r>
      <w:r w:rsidRPr="00461BDD">
        <w:rPr>
          <w:i/>
          <w:iCs/>
        </w:rPr>
        <w:t>enfants</w:t>
      </w:r>
      <w:r w:rsidRPr="00461BDD">
        <w:t>) et 23 % (</w:t>
      </w:r>
      <w:r w:rsidRPr="00461BDD">
        <w:rPr>
          <w:i/>
          <w:iCs/>
        </w:rPr>
        <w:t>adultes</w:t>
      </w:r>
      <w:r w:rsidRPr="00461BDD">
        <w:t xml:space="preserve">). Pour les unités de distribution dont la </w:t>
      </w:r>
      <w:r w:rsidR="005769FB">
        <w:t>concentration</w:t>
      </w:r>
      <w:r w:rsidRPr="00461BDD">
        <w:t xml:space="preserve"> moyenne est à 50 mg/</w:t>
      </w:r>
      <w:r w:rsidR="002B30B7">
        <w:t>L</w:t>
      </w:r>
      <w:r w:rsidRPr="00461BDD">
        <w:t xml:space="preserve"> (</w:t>
      </w:r>
      <w:r w:rsidRPr="00461BDD">
        <w:rPr>
          <w:i/>
          <w:iCs/>
        </w:rPr>
        <w:t>la limite de qualité</w:t>
      </w:r>
      <w:r w:rsidRPr="00461BDD">
        <w:t>), cette part liée à l’eau passe à environ 50 %.</w:t>
      </w:r>
    </w:p>
    <w:p w14:paraId="22815D07" w14:textId="4F11DDAF" w:rsidR="00A4620A" w:rsidRPr="00A4620A" w:rsidRDefault="00DA794C" w:rsidP="002B30B7">
      <w:pPr>
        <w:spacing w:before="240" w:after="120"/>
        <w:jc w:val="both"/>
        <w:rPr>
          <w:b/>
          <w:bCs/>
        </w:rPr>
      </w:pPr>
      <w:r>
        <w:rPr>
          <w:b/>
          <w:bCs/>
        </w:rPr>
        <w:t>Quels peuvent être les e</w:t>
      </w:r>
      <w:r w:rsidR="00A4620A" w:rsidRPr="00A4620A">
        <w:rPr>
          <w:b/>
          <w:bCs/>
        </w:rPr>
        <w:t>ffets sur la santé</w:t>
      </w:r>
      <w:r>
        <w:rPr>
          <w:b/>
          <w:bCs/>
        </w:rPr>
        <w:t xml:space="preserve"> liés à l’ingestion de nitrates ?</w:t>
      </w:r>
    </w:p>
    <w:p w14:paraId="0D2FFD6D" w14:textId="0A91702E" w:rsidR="00461BDD" w:rsidRDefault="00A4620A" w:rsidP="002B30B7">
      <w:pPr>
        <w:spacing w:before="120" w:after="240"/>
        <w:jc w:val="both"/>
      </w:pPr>
      <w:r w:rsidRPr="00A4620A">
        <w:t xml:space="preserve">Dans l’organisme humain, les nitrates se transforment en nitrites. </w:t>
      </w:r>
      <w:r w:rsidR="001F3647">
        <w:t xml:space="preserve">Ces derniers </w:t>
      </w:r>
      <w:r w:rsidRPr="00A4620A">
        <w:t>peuvent présenter un risque pour la santé</w:t>
      </w:r>
      <w:r w:rsidR="00461BDD">
        <w:t xml:space="preserve">, </w:t>
      </w:r>
      <w:r w:rsidRPr="00A4620A">
        <w:t>par modification des propriétés de l’hémoglobine du sang</w:t>
      </w:r>
      <w:r w:rsidR="00461BDD">
        <w:t xml:space="preserve">, </w:t>
      </w:r>
      <w:r w:rsidRPr="00A4620A">
        <w:t>empêch</w:t>
      </w:r>
      <w:r w:rsidR="00461BDD">
        <w:t>ant</w:t>
      </w:r>
      <w:r w:rsidRPr="00A4620A">
        <w:t xml:space="preserve"> un transport correct de l’oxygène par les globules rouges. </w:t>
      </w:r>
    </w:p>
    <w:p w14:paraId="384DC174" w14:textId="795E7D87" w:rsidR="00DA794C" w:rsidRPr="00DA794C" w:rsidRDefault="00DA794C" w:rsidP="002B30B7">
      <w:pPr>
        <w:spacing w:before="240" w:after="120"/>
        <w:jc w:val="both"/>
        <w:rPr>
          <w:b/>
          <w:bCs/>
        </w:rPr>
      </w:pPr>
      <w:r w:rsidRPr="00DA794C">
        <w:rPr>
          <w:b/>
          <w:bCs/>
        </w:rPr>
        <w:t>Quelles sont les personnes les plus à risque ?</w:t>
      </w:r>
    </w:p>
    <w:p w14:paraId="57DA97A2" w14:textId="7CD20CD1" w:rsidR="00A4620A" w:rsidRPr="00A4620A" w:rsidRDefault="00A4620A" w:rsidP="002B30B7">
      <w:pPr>
        <w:spacing w:before="120" w:after="240"/>
        <w:jc w:val="both"/>
      </w:pPr>
      <w:r w:rsidRPr="00A4620A">
        <w:t xml:space="preserve">Chez les très </w:t>
      </w:r>
      <w:r w:rsidRPr="001F3647">
        <w:t>jeunes enfants (moins de 6 mois),</w:t>
      </w:r>
      <w:r w:rsidRPr="00A4620A">
        <w:t xml:space="preserve"> cette maladie, appelée méthémoglobinémie, </w:t>
      </w:r>
      <w:r w:rsidR="005769FB">
        <w:t xml:space="preserve">peut </w:t>
      </w:r>
      <w:r w:rsidRPr="00A4620A">
        <w:t>provoque</w:t>
      </w:r>
      <w:r w:rsidR="005769FB">
        <w:t>r</w:t>
      </w:r>
      <w:r w:rsidRPr="00A4620A">
        <w:t xml:space="preserve"> des cyanoses parfois sévères. Les femmes enceintes et les nourrissons sont les populations les plus sensibles.</w:t>
      </w:r>
    </w:p>
    <w:p w14:paraId="352EE4BF" w14:textId="0C7A8F83" w:rsidR="00A4620A" w:rsidRPr="00A4620A" w:rsidRDefault="00DA794C" w:rsidP="002B30B7">
      <w:pPr>
        <w:spacing w:before="240" w:after="120"/>
        <w:jc w:val="both"/>
        <w:rPr>
          <w:b/>
          <w:bCs/>
        </w:rPr>
      </w:pPr>
      <w:r>
        <w:rPr>
          <w:b/>
          <w:bCs/>
        </w:rPr>
        <w:t>Quelles sont les recommandations et les e</w:t>
      </w:r>
      <w:r w:rsidR="00A4620A" w:rsidRPr="00A4620A">
        <w:rPr>
          <w:b/>
          <w:bCs/>
        </w:rPr>
        <w:t>xigences de qualité</w:t>
      </w:r>
      <w:r>
        <w:rPr>
          <w:b/>
          <w:bCs/>
        </w:rPr>
        <w:t> ?</w:t>
      </w:r>
    </w:p>
    <w:p w14:paraId="249506D9" w14:textId="469541BA" w:rsidR="00A4620A" w:rsidRDefault="00461BDD" w:rsidP="002B30B7">
      <w:pPr>
        <w:spacing w:before="120" w:after="120"/>
        <w:jc w:val="both"/>
      </w:pPr>
      <w:r w:rsidRPr="00461BDD">
        <w:t>Afin de protéger les populations les plus sensibles (</w:t>
      </w:r>
      <w:r w:rsidRPr="00461BDD">
        <w:rPr>
          <w:i/>
          <w:iCs/>
        </w:rPr>
        <w:t>nourrissons et femmes enceintes</w:t>
      </w:r>
      <w:r w:rsidRPr="00461BDD">
        <w:t>), </w:t>
      </w:r>
      <w:r>
        <w:t>la réglementation européenne et française</w:t>
      </w:r>
      <w:r w:rsidR="00A4620A" w:rsidRPr="00A4620A">
        <w:t xml:space="preserve"> fixe une limite de qualité pour les nitrates de 50 mg/L </w:t>
      </w:r>
      <w:r>
        <w:t>au robinet du consommateur</w:t>
      </w:r>
      <w:r w:rsidR="00A4620A" w:rsidRPr="00A4620A">
        <w:t xml:space="preserve">. </w:t>
      </w:r>
    </w:p>
    <w:p w14:paraId="08F70DC0" w14:textId="05CC8C74" w:rsidR="00461BDD" w:rsidRDefault="00461BDD" w:rsidP="002B30B7">
      <w:pPr>
        <w:spacing w:before="120" w:after="240"/>
        <w:jc w:val="both"/>
      </w:pPr>
      <w:r>
        <w:t xml:space="preserve">En cas de dépassement de ce seuil, </w:t>
      </w:r>
      <w:r w:rsidR="00A4620A" w:rsidRPr="00A4620A">
        <w:t xml:space="preserve">la consommation de l’eau est déconseillée uniquement pour les femmes enceintes et les nourrissons. </w:t>
      </w:r>
      <w:r w:rsidR="005769FB">
        <w:t>Dans le cas d’un dépassement chronique de la limite de qualité</w:t>
      </w:r>
      <w:r w:rsidRPr="00461BDD">
        <w:t xml:space="preserve">, des dérogations temporaires à </w:t>
      </w:r>
      <w:r w:rsidR="005769FB">
        <w:t>cette</w:t>
      </w:r>
      <w:r w:rsidRPr="00461BDD">
        <w:t xml:space="preserve"> limite de qualité peuvent être accordées par le </w:t>
      </w:r>
      <w:r w:rsidR="002B30B7" w:rsidRPr="00461BDD">
        <w:t>préfet</w:t>
      </w:r>
      <w:r w:rsidRPr="00461BDD">
        <w:t xml:space="preserve"> sur la base d'un programme d'amélioration de la qualité, présenté par la collectivité distributrice. </w:t>
      </w:r>
    </w:p>
    <w:p w14:paraId="630A49ED" w14:textId="211E8860" w:rsidR="00A4620A" w:rsidRDefault="00A4620A" w:rsidP="002B30B7">
      <w:pPr>
        <w:spacing w:before="240" w:after="240"/>
        <w:jc w:val="both"/>
      </w:pPr>
      <w:r w:rsidRPr="00A4620A">
        <w:t>Au-delà de 100 mg/</w:t>
      </w:r>
      <w:r w:rsidR="002B30B7">
        <w:t>L</w:t>
      </w:r>
      <w:r w:rsidRPr="00A4620A">
        <w:t>, toute la population est concernée par la restriction de consommation.</w:t>
      </w:r>
      <w:r w:rsidR="00461BDD">
        <w:t xml:space="preserve"> Aucune dérogation n’est possible.</w:t>
      </w:r>
    </w:p>
    <w:p w14:paraId="5A7B0785" w14:textId="77777777" w:rsidR="00C81F66" w:rsidRPr="00DA794C" w:rsidRDefault="00C81F66" w:rsidP="00C81F66">
      <w:pPr>
        <w:spacing w:before="240" w:after="120"/>
        <w:jc w:val="both"/>
        <w:rPr>
          <w:b/>
          <w:bCs/>
        </w:rPr>
      </w:pPr>
      <w:r>
        <w:rPr>
          <w:b/>
          <w:bCs/>
        </w:rPr>
        <w:lastRenderedPageBreak/>
        <w:t>Comment la présence de nitrates est-elle surveillée dans l’eau du robinet ?</w:t>
      </w:r>
    </w:p>
    <w:p w14:paraId="07FBFA29" w14:textId="6F826841" w:rsidR="00C81F66" w:rsidRPr="00A4620A" w:rsidRDefault="00C81F66" w:rsidP="00C81F66">
      <w:pPr>
        <w:spacing w:before="120" w:after="240"/>
        <w:jc w:val="both"/>
      </w:pPr>
      <w:r>
        <w:t>Ce paramètre est recherché au niveau de la ressource ainsi qu’en distribution après traitement. Les fréquences varient en fonction du volume d’eau distribuée.</w:t>
      </w:r>
    </w:p>
    <w:p w14:paraId="4FA7703C" w14:textId="1256CC5C" w:rsidR="00DA794C" w:rsidRDefault="004A4EEF" w:rsidP="002B30B7">
      <w:pPr>
        <w:spacing w:before="240" w:after="120"/>
        <w:jc w:val="both"/>
        <w:rPr>
          <w:b/>
          <w:bCs/>
        </w:rPr>
      </w:pPr>
      <w:r>
        <w:rPr>
          <w:b/>
          <w:bCs/>
        </w:rPr>
        <w:t>Quels sont les t</w:t>
      </w:r>
      <w:r w:rsidR="00DA794C" w:rsidRPr="00DA794C">
        <w:rPr>
          <w:b/>
          <w:bCs/>
        </w:rPr>
        <w:t xml:space="preserve">raitements </w:t>
      </w:r>
      <w:r>
        <w:rPr>
          <w:b/>
          <w:bCs/>
        </w:rPr>
        <w:t>qui peuvent être mis en place pour éliminer les nitrates </w:t>
      </w:r>
      <w:r w:rsidR="00201FB0">
        <w:rPr>
          <w:b/>
          <w:bCs/>
        </w:rPr>
        <w:t xml:space="preserve">dans l’eau </w:t>
      </w:r>
      <w:r>
        <w:rPr>
          <w:b/>
          <w:bCs/>
        </w:rPr>
        <w:t>?</w:t>
      </w:r>
    </w:p>
    <w:p w14:paraId="2E9313D7" w14:textId="731195F4" w:rsidR="00F145AB" w:rsidRDefault="00F145AB" w:rsidP="002B30B7">
      <w:pPr>
        <w:spacing w:before="120" w:after="120"/>
        <w:jc w:val="both"/>
      </w:pPr>
      <w:r>
        <w:t>Lorsque cela est possible, des mesures pour permettre un retour à la conformité de l’eau distribuée peuvent être mises en place comme la dilution</w:t>
      </w:r>
      <w:r w:rsidR="005769FB">
        <w:t xml:space="preserve"> avec une ressource préservée</w:t>
      </w:r>
      <w:r>
        <w:t>, l’achat d’eau</w:t>
      </w:r>
      <w:r w:rsidR="005769FB">
        <w:t xml:space="preserve"> à une autre collectivité</w:t>
      </w:r>
      <w:r>
        <w:t xml:space="preserve">. </w:t>
      </w:r>
      <w:r w:rsidR="005769FB">
        <w:t xml:space="preserve">A </w:t>
      </w:r>
      <w:r>
        <w:t xml:space="preserve">moyen terme, un traitement de l’eau peut également être </w:t>
      </w:r>
      <w:r w:rsidR="005769FB">
        <w:t>mis en place</w:t>
      </w:r>
      <w:r>
        <w:t>.</w:t>
      </w:r>
    </w:p>
    <w:p w14:paraId="5B6CF45F" w14:textId="3889B41F" w:rsidR="00F145AB" w:rsidRDefault="00F145AB" w:rsidP="002B30B7">
      <w:pPr>
        <w:spacing w:before="120" w:after="240"/>
        <w:jc w:val="both"/>
      </w:pPr>
      <w:r>
        <w:t xml:space="preserve">Cependant, </w:t>
      </w:r>
      <w:r w:rsidRPr="00461BDD">
        <w:t xml:space="preserve">les actions </w:t>
      </w:r>
      <w:r w:rsidR="005769FB">
        <w:t xml:space="preserve">les plus </w:t>
      </w:r>
      <w:r w:rsidRPr="00461BDD">
        <w:t xml:space="preserve">pertinentes </w:t>
      </w:r>
      <w:r>
        <w:t>et efficace</w:t>
      </w:r>
      <w:r w:rsidR="00F215E4">
        <w:t>s</w:t>
      </w:r>
      <w:r>
        <w:t xml:space="preserve"> dans le temps</w:t>
      </w:r>
      <w:r w:rsidRPr="00461BDD">
        <w:t xml:space="preserve"> </w:t>
      </w:r>
      <w:r w:rsidR="005769FB">
        <w:t>restent</w:t>
      </w:r>
      <w:r w:rsidRPr="00461BDD">
        <w:t xml:space="preserve"> les actions visant à protéger les ressources en eau. </w:t>
      </w:r>
    </w:p>
    <w:p w14:paraId="2AA66287" w14:textId="2954BE2B" w:rsidR="004A4EEF" w:rsidRPr="00F145AB" w:rsidRDefault="004A4EEF" w:rsidP="002B30B7">
      <w:pPr>
        <w:spacing w:before="240" w:after="240"/>
        <w:jc w:val="both"/>
      </w:pPr>
    </w:p>
    <w:p w14:paraId="24CC4E36" w14:textId="77777777" w:rsidR="00DA794C" w:rsidRDefault="00DA794C" w:rsidP="002B30B7">
      <w:pPr>
        <w:spacing w:before="240" w:after="240"/>
        <w:jc w:val="both"/>
      </w:pPr>
    </w:p>
    <w:p w14:paraId="2AA5EE0D" w14:textId="77777777" w:rsidR="00E945D6" w:rsidRPr="00E945D6" w:rsidRDefault="00E945D6" w:rsidP="00E945D6"/>
    <w:p w14:paraId="2FBA2C24" w14:textId="77777777" w:rsidR="00E945D6" w:rsidRPr="00E945D6" w:rsidRDefault="00E945D6" w:rsidP="00E945D6"/>
    <w:p w14:paraId="662B955A" w14:textId="77777777" w:rsidR="00E945D6" w:rsidRPr="00E945D6" w:rsidRDefault="00E945D6" w:rsidP="00E945D6"/>
    <w:p w14:paraId="6E30C31C" w14:textId="77777777" w:rsidR="00E945D6" w:rsidRPr="00E945D6" w:rsidRDefault="00E945D6" w:rsidP="00E945D6"/>
    <w:p w14:paraId="7CB09485" w14:textId="77777777" w:rsidR="00E945D6" w:rsidRPr="00E945D6" w:rsidRDefault="00E945D6" w:rsidP="00E945D6"/>
    <w:p w14:paraId="0687AA58" w14:textId="77777777" w:rsidR="00E945D6" w:rsidRPr="00E945D6" w:rsidRDefault="00E945D6" w:rsidP="00E945D6"/>
    <w:p w14:paraId="6AD0717D" w14:textId="77777777" w:rsidR="00E945D6" w:rsidRPr="00E945D6" w:rsidRDefault="00E945D6" w:rsidP="00E945D6"/>
    <w:p w14:paraId="38B1812B" w14:textId="77777777" w:rsidR="00E945D6" w:rsidRPr="00E945D6" w:rsidRDefault="00E945D6" w:rsidP="00E945D6"/>
    <w:p w14:paraId="1C962BC6" w14:textId="77777777" w:rsidR="00E945D6" w:rsidRPr="00E945D6" w:rsidRDefault="00E945D6" w:rsidP="00E945D6"/>
    <w:p w14:paraId="2C2160D6" w14:textId="77777777" w:rsidR="00E945D6" w:rsidRPr="00E945D6" w:rsidRDefault="00E945D6" w:rsidP="00E945D6"/>
    <w:p w14:paraId="0F008997" w14:textId="77777777" w:rsidR="00E945D6" w:rsidRPr="00E945D6" w:rsidRDefault="00E945D6" w:rsidP="00E945D6"/>
    <w:p w14:paraId="18C10603" w14:textId="77777777" w:rsidR="00E945D6" w:rsidRPr="00E945D6" w:rsidRDefault="00E945D6" w:rsidP="00E945D6"/>
    <w:p w14:paraId="4DB42E68" w14:textId="77777777" w:rsidR="00E945D6" w:rsidRPr="00E945D6" w:rsidRDefault="00E945D6" w:rsidP="00E945D6"/>
    <w:p w14:paraId="098BDD7A" w14:textId="55BC4E9C" w:rsidR="00E945D6" w:rsidRPr="00E945D6" w:rsidRDefault="00E945D6" w:rsidP="00E945D6">
      <w:pPr>
        <w:tabs>
          <w:tab w:val="left" w:pos="1005"/>
        </w:tabs>
      </w:pPr>
      <w:r>
        <w:tab/>
      </w:r>
    </w:p>
    <w:sectPr w:rsidR="00E945D6" w:rsidRPr="00E945D6" w:rsidSect="002B30B7">
      <w:headerReference w:type="default" r:id="rId6"/>
      <w:footerReference w:type="default" r:id="rId7"/>
      <w:pgSz w:w="11906" w:h="16838"/>
      <w:pgMar w:top="297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9F38E" w14:textId="77777777" w:rsidR="002B30B7" w:rsidRDefault="002B30B7" w:rsidP="002B30B7">
      <w:pPr>
        <w:spacing w:after="0" w:line="240" w:lineRule="auto"/>
      </w:pPr>
      <w:r>
        <w:separator/>
      </w:r>
    </w:p>
  </w:endnote>
  <w:endnote w:type="continuationSeparator" w:id="0">
    <w:p w14:paraId="4E12D8B7" w14:textId="77777777" w:rsidR="002B30B7" w:rsidRDefault="002B30B7" w:rsidP="002B3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FCAE3" w14:textId="272FA717" w:rsidR="002B30B7" w:rsidRPr="002B30B7" w:rsidRDefault="002374A2" w:rsidP="002B30B7">
    <w:pPr>
      <w:widowControl w:val="0"/>
      <w:autoSpaceDE w:val="0"/>
      <w:autoSpaceDN w:val="0"/>
      <w:spacing w:after="0" w:line="161" w:lineRule="exact"/>
      <w:rPr>
        <w:rFonts w:ascii="Arial" w:eastAsia="Arial" w:hAnsi="Arial" w:cs="Times New Roman"/>
        <w:color w:val="6D6DFF"/>
        <w:kern w:val="0"/>
        <w:sz w:val="14"/>
        <w:szCs w:val="14"/>
        <w:u w:val="single"/>
        <w14:ligatures w14:val="none"/>
      </w:rPr>
    </w:pPr>
    <w:hyperlink r:id="rId1" w:history="1">
      <w:r w:rsidRPr="00F125B2">
        <w:rPr>
          <w:rStyle w:val="Lienhypertexte"/>
          <w:rFonts w:ascii="Arial" w:eastAsia="Arial" w:hAnsi="Arial" w:cs="Times New Roman"/>
          <w:kern w:val="0"/>
          <w:sz w:val="14"/>
          <w:szCs w:val="14"/>
          <w14:ligatures w14:val="none"/>
        </w:rPr>
        <w:t>ars-pdl-se-edch</w:t>
      </w:r>
      <w:r w:rsidRPr="002B30B7">
        <w:rPr>
          <w:rStyle w:val="Lienhypertexte"/>
          <w:rFonts w:ascii="Arial" w:eastAsia="Arial" w:hAnsi="Arial" w:cs="Times New Roman"/>
          <w:kern w:val="0"/>
          <w:sz w:val="14"/>
          <w:szCs w:val="14"/>
          <w14:ligatures w14:val="none"/>
        </w:rPr>
        <w:t>@ars.sante.fr</w:t>
      </w:r>
    </w:hyperlink>
  </w:p>
  <w:p w14:paraId="5F0745C6" w14:textId="2B20489D" w:rsidR="002B30B7" w:rsidRPr="002B30B7" w:rsidRDefault="002B30B7" w:rsidP="002B30B7">
    <w:pPr>
      <w:widowControl w:val="0"/>
      <w:autoSpaceDE w:val="0"/>
      <w:autoSpaceDN w:val="0"/>
      <w:spacing w:after="0" w:line="240" w:lineRule="auto"/>
      <w:jc w:val="both"/>
      <w:rPr>
        <w:rFonts w:ascii="Arial" w:eastAsia="Arial" w:hAnsi="Arial" w:cs="Arial"/>
        <w:kern w:val="0"/>
        <w:sz w:val="14"/>
        <w:szCs w:val="14"/>
        <w14:ligatures w14:val="none"/>
      </w:rPr>
    </w:pPr>
    <w:r w:rsidRPr="002B30B7">
      <w:rPr>
        <w:rFonts w:ascii="Arial" w:eastAsia="Arial" w:hAnsi="Arial" w:cs="Times New Roman"/>
        <w:color w:val="344E4A"/>
        <w:kern w:val="0"/>
        <w:sz w:val="14"/>
        <w:szCs w:val="14"/>
        <w14:ligatures w14:val="none"/>
      </w:rPr>
      <w:t xml:space="preserve">02 </w:t>
    </w:r>
    <w:r w:rsidR="00E945D6">
      <w:rPr>
        <w:rFonts w:ascii="Arial" w:eastAsia="Arial" w:hAnsi="Arial" w:cs="Times New Roman"/>
        <w:color w:val="344E4A"/>
        <w:kern w:val="0"/>
        <w:sz w:val="14"/>
        <w:szCs w:val="14"/>
        <w14:ligatures w14:val="none"/>
      </w:rPr>
      <w:t>49 10 47 90</w:t>
    </w:r>
  </w:p>
  <w:p w14:paraId="453F9C6B" w14:textId="67F395A8" w:rsidR="00E945D6" w:rsidRPr="00E945D6" w:rsidRDefault="002B30B7" w:rsidP="00E945D6">
    <w:pPr>
      <w:widowControl w:val="0"/>
      <w:autoSpaceDE w:val="0"/>
      <w:autoSpaceDN w:val="0"/>
      <w:spacing w:after="0" w:line="240" w:lineRule="auto"/>
      <w:rPr>
        <w:rFonts w:ascii="Arial" w:eastAsia="Arial" w:hAnsi="Arial" w:cs="Arial"/>
        <w:color w:val="344E4A"/>
        <w:kern w:val="0"/>
        <w:sz w:val="14"/>
        <w:szCs w:val="14"/>
        <w14:ligatures w14:val="none"/>
      </w:rPr>
    </w:pPr>
    <w:r w:rsidRPr="002B30B7">
      <w:rPr>
        <w:rFonts w:ascii="Arial" w:eastAsia="Arial" w:hAnsi="Arial" w:cs="Arial"/>
        <w:noProof/>
        <w:kern w:val="0"/>
        <w:lang w:eastAsia="fr-FR"/>
        <w14:ligatures w14:val="none"/>
      </w:rPr>
      <w:drawing>
        <wp:anchor distT="0" distB="0" distL="114300" distR="114300" simplePos="0" relativeHeight="251664384" behindDoc="0" locked="0" layoutInCell="1" allowOverlap="1" wp14:anchorId="04BC9A51" wp14:editId="5278D963">
          <wp:simplePos x="0" y="0"/>
          <wp:positionH relativeFrom="column">
            <wp:posOffset>4131310</wp:posOffset>
          </wp:positionH>
          <wp:positionV relativeFrom="paragraph">
            <wp:posOffset>104140</wp:posOffset>
          </wp:positionV>
          <wp:extent cx="2612390" cy="452755"/>
          <wp:effectExtent l="0" t="0" r="0" b="4445"/>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extLst>
                      <a:ext uri="{28A0092B-C50C-407E-A947-70E740481C1C}">
                        <a14:useLocalDpi xmlns:a14="http://schemas.microsoft.com/office/drawing/2010/main" val="0"/>
                      </a:ext>
                    </a:extLst>
                  </a:blip>
                  <a:stretch>
                    <a:fillRect/>
                  </a:stretch>
                </pic:blipFill>
                <pic:spPr>
                  <a:xfrm>
                    <a:off x="0" y="0"/>
                    <a:ext cx="2612390" cy="452755"/>
                  </a:xfrm>
                  <a:prstGeom prst="rect">
                    <a:avLst/>
                  </a:prstGeom>
                </pic:spPr>
              </pic:pic>
            </a:graphicData>
          </a:graphic>
          <wp14:sizeRelH relativeFrom="page">
            <wp14:pctWidth>0</wp14:pctWidth>
          </wp14:sizeRelH>
          <wp14:sizeRelV relativeFrom="page">
            <wp14:pctHeight>0</wp14:pctHeight>
          </wp14:sizeRelV>
        </wp:anchor>
      </w:drawing>
    </w:r>
    <w:r w:rsidR="00E945D6">
      <w:rPr>
        <w:rFonts w:ascii="Arial" w:eastAsia="Arial" w:hAnsi="Arial" w:cs="Arial"/>
        <w:color w:val="344E4A"/>
        <w:kern w:val="0"/>
        <w:sz w:val="14"/>
        <w:szCs w:val="14"/>
        <w14:ligatures w14:val="none"/>
      </w:rPr>
      <w:t>17</w:t>
    </w:r>
    <w:r w:rsidR="00E945D6" w:rsidRPr="00E945D6">
      <w:t xml:space="preserve"> </w:t>
    </w:r>
    <w:r w:rsidR="00E945D6" w:rsidRPr="00E945D6">
      <w:rPr>
        <w:rFonts w:ascii="Arial" w:eastAsia="Arial" w:hAnsi="Arial" w:cs="Arial"/>
        <w:color w:val="344E4A"/>
        <w:kern w:val="0"/>
        <w:sz w:val="14"/>
        <w:szCs w:val="14"/>
        <w14:ligatures w14:val="none"/>
      </w:rPr>
      <w:t>boulevard Gaston Doumergue - CS 56233</w:t>
    </w:r>
  </w:p>
  <w:p w14:paraId="749B4BEC" w14:textId="34608B90" w:rsidR="002B30B7" w:rsidRPr="002B30B7" w:rsidRDefault="00E945D6" w:rsidP="00E945D6">
    <w:pPr>
      <w:widowControl w:val="0"/>
      <w:autoSpaceDE w:val="0"/>
      <w:autoSpaceDN w:val="0"/>
      <w:spacing w:after="0" w:line="240" w:lineRule="auto"/>
      <w:rPr>
        <w:rFonts w:ascii="Franklin Gothic Book" w:eastAsia="Arial" w:hAnsi="Franklin Gothic Book" w:cs="Arial"/>
        <w:color w:val="000080"/>
        <w:kern w:val="0"/>
        <w:sz w:val="16"/>
        <w:szCs w:val="16"/>
        <w14:ligatures w14:val="none"/>
      </w:rPr>
    </w:pPr>
    <w:r w:rsidRPr="00E945D6">
      <w:rPr>
        <w:rFonts w:ascii="Arial" w:eastAsia="Arial" w:hAnsi="Arial" w:cs="Arial"/>
        <w:color w:val="344E4A"/>
        <w:kern w:val="0"/>
        <w:sz w:val="14"/>
        <w:szCs w:val="14"/>
        <w14:ligatures w14:val="none"/>
      </w:rPr>
      <w:t>44262 NANTES cedex 2</w:t>
    </w:r>
    <w:r w:rsidR="002B30B7" w:rsidRPr="002B30B7">
      <w:rPr>
        <w:rFonts w:ascii="Franklin Gothic Book" w:eastAsia="Arial" w:hAnsi="Franklin Gothic Book" w:cs="Arial"/>
        <w:noProof/>
        <w:color w:val="000080"/>
        <w:kern w:val="0"/>
        <w:sz w:val="16"/>
        <w:szCs w:val="16"/>
        <w:lang w:eastAsia="fr-FR"/>
        <w14:ligatures w14:val="none"/>
      </w:rPr>
      <w:drawing>
        <wp:anchor distT="0" distB="0" distL="114300" distR="114300" simplePos="0" relativeHeight="251663360" behindDoc="0" locked="0" layoutInCell="1" allowOverlap="1" wp14:anchorId="01387B24" wp14:editId="6ED8D530">
          <wp:simplePos x="0" y="0"/>
          <wp:positionH relativeFrom="column">
            <wp:posOffset>-40640</wp:posOffset>
          </wp:positionH>
          <wp:positionV relativeFrom="paragraph">
            <wp:posOffset>126365</wp:posOffset>
          </wp:positionV>
          <wp:extent cx="1062990" cy="187325"/>
          <wp:effectExtent l="0" t="0" r="3810" b="317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S logos.jpg"/>
                  <pic:cNvPicPr/>
                </pic:nvPicPr>
                <pic:blipFill>
                  <a:blip r:embed="rId3">
                    <a:extLst>
                      <a:ext uri="{28A0092B-C50C-407E-A947-70E740481C1C}">
                        <a14:useLocalDpi xmlns:a14="http://schemas.microsoft.com/office/drawing/2010/main" val="0"/>
                      </a:ext>
                    </a:extLst>
                  </a:blip>
                  <a:stretch>
                    <a:fillRect/>
                  </a:stretch>
                </pic:blipFill>
                <pic:spPr>
                  <a:xfrm>
                    <a:off x="0" y="0"/>
                    <a:ext cx="1062990" cy="187325"/>
                  </a:xfrm>
                  <a:prstGeom prst="rect">
                    <a:avLst/>
                  </a:prstGeom>
                </pic:spPr>
              </pic:pic>
            </a:graphicData>
          </a:graphic>
          <wp14:sizeRelH relativeFrom="page">
            <wp14:pctWidth>0</wp14:pctWidth>
          </wp14:sizeRelH>
          <wp14:sizeRelV relativeFrom="page">
            <wp14:pctHeight>0</wp14:pctHeight>
          </wp14:sizeRelV>
        </wp:anchor>
      </w:drawing>
    </w:r>
    <w:r w:rsidR="002B30B7" w:rsidRPr="002B30B7">
      <w:rPr>
        <w:rFonts w:ascii="Arial" w:eastAsia="Arial" w:hAnsi="Arial" w:cs="Arial"/>
        <w:b/>
        <w:color w:val="344E4A"/>
        <w:kern w:val="0"/>
        <w:sz w:val="16"/>
        <w:szCs w:val="16"/>
        <w14:ligatures w14:val="none"/>
      </w:rPr>
      <w:t>www.pays-de-la-loire.ars.sante.fr</w:t>
    </w:r>
  </w:p>
  <w:p w14:paraId="4F0E3AD8" w14:textId="703D1D00" w:rsidR="002B30B7" w:rsidRDefault="002B30B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C9793" w14:textId="77777777" w:rsidR="002B30B7" w:rsidRDefault="002B30B7" w:rsidP="002B30B7">
      <w:pPr>
        <w:spacing w:after="0" w:line="240" w:lineRule="auto"/>
      </w:pPr>
      <w:r>
        <w:separator/>
      </w:r>
    </w:p>
  </w:footnote>
  <w:footnote w:type="continuationSeparator" w:id="0">
    <w:p w14:paraId="667769B6" w14:textId="77777777" w:rsidR="002B30B7" w:rsidRDefault="002B30B7" w:rsidP="002B30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2950C" w14:textId="322CA4A1" w:rsidR="002B30B7" w:rsidRDefault="002B30B7" w:rsidP="002B30B7">
    <w:pPr>
      <w:pStyle w:val="En-tte"/>
      <w:tabs>
        <w:tab w:val="clear" w:pos="4536"/>
      </w:tabs>
    </w:pPr>
    <w:r w:rsidRPr="000F3A76">
      <w:rPr>
        <w:noProof/>
        <w:lang w:eastAsia="fr-FR"/>
      </w:rPr>
      <w:drawing>
        <wp:anchor distT="0" distB="0" distL="114300" distR="114300" simplePos="0" relativeHeight="251661312" behindDoc="0" locked="0" layoutInCell="1" allowOverlap="1" wp14:anchorId="52E0FC80" wp14:editId="38019534">
          <wp:simplePos x="0" y="0"/>
          <wp:positionH relativeFrom="column">
            <wp:posOffset>4284715</wp:posOffset>
          </wp:positionH>
          <wp:positionV relativeFrom="paragraph">
            <wp:posOffset>200837</wp:posOffset>
          </wp:positionV>
          <wp:extent cx="1581393" cy="911311"/>
          <wp:effectExtent l="0" t="0" r="0" b="3175"/>
          <wp:wrapNone/>
          <wp:docPr id="975044943" name="Image 975044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artenaire.png"/>
                  <pic:cNvPicPr/>
                </pic:nvPicPr>
                <pic:blipFill>
                  <a:blip r:embed="rId1">
                    <a:extLst>
                      <a:ext uri="{28A0092B-C50C-407E-A947-70E740481C1C}">
                        <a14:useLocalDpi xmlns:a14="http://schemas.microsoft.com/office/drawing/2010/main" val="0"/>
                      </a:ext>
                    </a:extLst>
                  </a:blip>
                  <a:stretch>
                    <a:fillRect/>
                  </a:stretch>
                </pic:blipFill>
                <pic:spPr>
                  <a:xfrm>
                    <a:off x="0" y="0"/>
                    <a:ext cx="1581393" cy="911311"/>
                  </a:xfrm>
                  <a:prstGeom prst="rect">
                    <a:avLst/>
                  </a:prstGeom>
                </pic:spPr>
              </pic:pic>
            </a:graphicData>
          </a:graphic>
          <wp14:sizeRelH relativeFrom="page">
            <wp14:pctWidth>0</wp14:pctWidth>
          </wp14:sizeRelH>
          <wp14:sizeRelV relativeFrom="page">
            <wp14:pctHeight>0</wp14:pctHeight>
          </wp14:sizeRelV>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2B4"/>
    <w:rsid w:val="0008566C"/>
    <w:rsid w:val="001A7ED5"/>
    <w:rsid w:val="001C012D"/>
    <w:rsid w:val="001F3647"/>
    <w:rsid w:val="00201FB0"/>
    <w:rsid w:val="002374A2"/>
    <w:rsid w:val="002B30B7"/>
    <w:rsid w:val="00461BDD"/>
    <w:rsid w:val="00474A14"/>
    <w:rsid w:val="004A4EEF"/>
    <w:rsid w:val="0050215B"/>
    <w:rsid w:val="005769FB"/>
    <w:rsid w:val="005A77C3"/>
    <w:rsid w:val="006D36D2"/>
    <w:rsid w:val="0074732A"/>
    <w:rsid w:val="007625A9"/>
    <w:rsid w:val="007A73D1"/>
    <w:rsid w:val="007B7B59"/>
    <w:rsid w:val="007D72B4"/>
    <w:rsid w:val="00851305"/>
    <w:rsid w:val="008E2D00"/>
    <w:rsid w:val="00A322F9"/>
    <w:rsid w:val="00A374DD"/>
    <w:rsid w:val="00A4620A"/>
    <w:rsid w:val="00C46750"/>
    <w:rsid w:val="00C64760"/>
    <w:rsid w:val="00C81F66"/>
    <w:rsid w:val="00CB3F00"/>
    <w:rsid w:val="00DA794C"/>
    <w:rsid w:val="00DB6678"/>
    <w:rsid w:val="00E41CDD"/>
    <w:rsid w:val="00E945D6"/>
    <w:rsid w:val="00F145AB"/>
    <w:rsid w:val="00F215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3DE481"/>
  <w15:chartTrackingRefBased/>
  <w15:docId w15:val="{1D931A36-BE6B-45F0-861F-1F080C1F9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D72B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7D72B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7D72B4"/>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7D72B4"/>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7D72B4"/>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7D72B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D72B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D72B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D72B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D72B4"/>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7D72B4"/>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7D72B4"/>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7D72B4"/>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7D72B4"/>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7D72B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D72B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D72B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D72B4"/>
    <w:rPr>
      <w:rFonts w:eastAsiaTheme="majorEastAsia" w:cstheme="majorBidi"/>
      <w:color w:val="272727" w:themeColor="text1" w:themeTint="D8"/>
    </w:rPr>
  </w:style>
  <w:style w:type="paragraph" w:styleId="Titre">
    <w:name w:val="Title"/>
    <w:basedOn w:val="Normal"/>
    <w:next w:val="Normal"/>
    <w:link w:val="TitreCar"/>
    <w:uiPriority w:val="10"/>
    <w:qFormat/>
    <w:rsid w:val="007D72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D72B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D72B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D72B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D72B4"/>
    <w:pPr>
      <w:spacing w:before="160"/>
      <w:jc w:val="center"/>
    </w:pPr>
    <w:rPr>
      <w:i/>
      <w:iCs/>
      <w:color w:val="404040" w:themeColor="text1" w:themeTint="BF"/>
    </w:rPr>
  </w:style>
  <w:style w:type="character" w:customStyle="1" w:styleId="CitationCar">
    <w:name w:val="Citation Car"/>
    <w:basedOn w:val="Policepardfaut"/>
    <w:link w:val="Citation"/>
    <w:uiPriority w:val="29"/>
    <w:rsid w:val="007D72B4"/>
    <w:rPr>
      <w:i/>
      <w:iCs/>
      <w:color w:val="404040" w:themeColor="text1" w:themeTint="BF"/>
    </w:rPr>
  </w:style>
  <w:style w:type="paragraph" w:styleId="Paragraphedeliste">
    <w:name w:val="List Paragraph"/>
    <w:basedOn w:val="Normal"/>
    <w:uiPriority w:val="34"/>
    <w:qFormat/>
    <w:rsid w:val="007D72B4"/>
    <w:pPr>
      <w:ind w:left="720"/>
      <w:contextualSpacing/>
    </w:pPr>
  </w:style>
  <w:style w:type="character" w:styleId="Accentuationintense">
    <w:name w:val="Intense Emphasis"/>
    <w:basedOn w:val="Policepardfaut"/>
    <w:uiPriority w:val="21"/>
    <w:qFormat/>
    <w:rsid w:val="007D72B4"/>
    <w:rPr>
      <w:i/>
      <w:iCs/>
      <w:color w:val="2E74B5" w:themeColor="accent1" w:themeShade="BF"/>
    </w:rPr>
  </w:style>
  <w:style w:type="paragraph" w:styleId="Citationintense">
    <w:name w:val="Intense Quote"/>
    <w:basedOn w:val="Normal"/>
    <w:next w:val="Normal"/>
    <w:link w:val="CitationintenseCar"/>
    <w:uiPriority w:val="30"/>
    <w:qFormat/>
    <w:rsid w:val="007D72B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7D72B4"/>
    <w:rPr>
      <w:i/>
      <w:iCs/>
      <w:color w:val="2E74B5" w:themeColor="accent1" w:themeShade="BF"/>
    </w:rPr>
  </w:style>
  <w:style w:type="character" w:styleId="Rfrenceintense">
    <w:name w:val="Intense Reference"/>
    <w:basedOn w:val="Policepardfaut"/>
    <w:uiPriority w:val="32"/>
    <w:qFormat/>
    <w:rsid w:val="007D72B4"/>
    <w:rPr>
      <w:b/>
      <w:bCs/>
      <w:smallCaps/>
      <w:color w:val="2E74B5" w:themeColor="accent1" w:themeShade="BF"/>
      <w:spacing w:val="5"/>
    </w:rPr>
  </w:style>
  <w:style w:type="paragraph" w:styleId="En-tte">
    <w:name w:val="header"/>
    <w:basedOn w:val="Normal"/>
    <w:link w:val="En-tteCar"/>
    <w:uiPriority w:val="99"/>
    <w:unhideWhenUsed/>
    <w:rsid w:val="002B30B7"/>
    <w:pPr>
      <w:tabs>
        <w:tab w:val="center" w:pos="4536"/>
        <w:tab w:val="right" w:pos="9072"/>
      </w:tabs>
      <w:spacing w:after="0" w:line="240" w:lineRule="auto"/>
    </w:pPr>
  </w:style>
  <w:style w:type="character" w:customStyle="1" w:styleId="En-tteCar">
    <w:name w:val="En-tête Car"/>
    <w:basedOn w:val="Policepardfaut"/>
    <w:link w:val="En-tte"/>
    <w:uiPriority w:val="99"/>
    <w:rsid w:val="002B30B7"/>
  </w:style>
  <w:style w:type="paragraph" w:styleId="Pieddepage">
    <w:name w:val="footer"/>
    <w:basedOn w:val="Normal"/>
    <w:link w:val="PieddepageCar"/>
    <w:uiPriority w:val="99"/>
    <w:unhideWhenUsed/>
    <w:rsid w:val="002B30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30B7"/>
  </w:style>
  <w:style w:type="character" w:styleId="Lienhypertexte">
    <w:name w:val="Hyperlink"/>
    <w:basedOn w:val="Policepardfaut"/>
    <w:uiPriority w:val="99"/>
    <w:unhideWhenUsed/>
    <w:rsid w:val="00E945D6"/>
    <w:rPr>
      <w:color w:val="0563C1" w:themeColor="hyperlink"/>
      <w:u w:val="single"/>
    </w:rPr>
  </w:style>
  <w:style w:type="character" w:styleId="Mentionnonrsolue">
    <w:name w:val="Unresolved Mention"/>
    <w:basedOn w:val="Policepardfaut"/>
    <w:uiPriority w:val="99"/>
    <w:semiHidden/>
    <w:unhideWhenUsed/>
    <w:rsid w:val="00E94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166655">
      <w:bodyDiv w:val="1"/>
      <w:marLeft w:val="0"/>
      <w:marRight w:val="0"/>
      <w:marTop w:val="0"/>
      <w:marBottom w:val="0"/>
      <w:divBdr>
        <w:top w:val="none" w:sz="0" w:space="0" w:color="auto"/>
        <w:left w:val="none" w:sz="0" w:space="0" w:color="auto"/>
        <w:bottom w:val="none" w:sz="0" w:space="0" w:color="auto"/>
        <w:right w:val="none" w:sz="0" w:space="0" w:color="auto"/>
      </w:divBdr>
    </w:div>
    <w:div w:id="153842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hyperlink" Target="mailto:ars-pdl-se-edch@ars.sant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493</Words>
  <Characters>2713</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Ministeres Sociaux</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VIAL, Valérie (ARS-PDL/DSPE/SE/EDCH)</dc:creator>
  <cp:keywords/>
  <dc:description/>
  <cp:lastModifiedBy>BERLIN, Sandra (ARS-PDL/DSPE/SE/SPE72)</cp:lastModifiedBy>
  <cp:revision>4</cp:revision>
  <dcterms:created xsi:type="dcterms:W3CDTF">2026-02-26T10:16:00Z</dcterms:created>
  <dcterms:modified xsi:type="dcterms:W3CDTF">2026-02-26T11:02:00Z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2026-02-13T13:50:57Z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1ca42fc5-9cc4-4c09-9120-f3e83661d0f1</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